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9" w:rsidRDefault="003E2D1C" w:rsidP="002859AC">
      <w:pPr>
        <w:ind w:right="-72"/>
        <w:rPr>
          <w:b/>
          <w:bCs/>
          <w:sz w:val="16"/>
          <w:szCs w:val="16"/>
        </w:rPr>
      </w:pPr>
      <w:r w:rsidRPr="003E2D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pt;margin-top:-30.45pt;width:72.25pt;height:92.1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497782967" r:id="rId6"/>
        </w:pict>
      </w:r>
    </w:p>
    <w:p w:rsidR="009F73B9" w:rsidRPr="0078203F" w:rsidRDefault="009F73B9" w:rsidP="00284BFC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АДМИНИСТРАЦИЯ</w:t>
      </w:r>
    </w:p>
    <w:p w:rsidR="009F73B9" w:rsidRPr="0078203F" w:rsidRDefault="009F73B9" w:rsidP="00C540E8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 xml:space="preserve"> АГАПОВСКОГО МУНИЦИПАЛЬНОГО РАЙОНА</w:t>
      </w:r>
    </w:p>
    <w:p w:rsidR="009F73B9" w:rsidRPr="0078203F" w:rsidRDefault="009F73B9" w:rsidP="00C540E8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ЧЕЛЯБИНСКОЙ ОБЛАСТИ</w:t>
      </w:r>
    </w:p>
    <w:p w:rsidR="009F73B9" w:rsidRPr="0078203F" w:rsidRDefault="009F73B9" w:rsidP="00284BF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F73B9" w:rsidRDefault="009F73B9" w:rsidP="00284BFC">
      <w:pPr>
        <w:rPr>
          <w:sz w:val="28"/>
          <w:szCs w:val="28"/>
          <w:u w:val="single"/>
        </w:rPr>
      </w:pPr>
    </w:p>
    <w:p w:rsidR="009F73B9" w:rsidRPr="00A653DA" w:rsidRDefault="009F73B9" w:rsidP="00284BFC">
      <w:pPr>
        <w:rPr>
          <w:sz w:val="28"/>
          <w:szCs w:val="28"/>
        </w:rPr>
      </w:pPr>
      <w:r w:rsidRPr="00A653D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06</w:t>
      </w:r>
      <w:r w:rsidRPr="00A653D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Pr="00A653D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A653DA">
        <w:rPr>
          <w:sz w:val="28"/>
          <w:szCs w:val="28"/>
          <w:u w:val="single"/>
        </w:rPr>
        <w:t>г.</w:t>
      </w:r>
      <w:r w:rsidRPr="00A653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A653D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A653D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667</w:t>
      </w:r>
    </w:p>
    <w:p w:rsidR="009F73B9" w:rsidRDefault="009F73B9" w:rsidP="00B11A50">
      <w:pPr>
        <w:jc w:val="center"/>
      </w:pPr>
    </w:p>
    <w:p w:rsidR="009F73B9" w:rsidRPr="00072A31" w:rsidRDefault="009F73B9" w:rsidP="00B11A50">
      <w:pPr>
        <w:jc w:val="center"/>
      </w:pPr>
      <w:proofErr w:type="gramStart"/>
      <w:r w:rsidRPr="00072A31">
        <w:t>с</w:t>
      </w:r>
      <w:proofErr w:type="gramEnd"/>
      <w:r w:rsidRPr="00072A31">
        <w:t>. Агаповка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О содействии избирательным комиссиям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в организации подготовки и проведения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выборов депутатов Законодательного Собрания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Челябинской области и представительных органов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9F73B9" w:rsidRDefault="009F73B9" w:rsidP="00555C4F">
      <w:pPr>
        <w:tabs>
          <w:tab w:val="left" w:pos="7050"/>
        </w:tabs>
        <w:ind w:right="432"/>
        <w:rPr>
          <w:sz w:val="28"/>
          <w:szCs w:val="28"/>
        </w:rPr>
      </w:pP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основных гарантиях избирательных прав и прав на участие в референдуме граждан Российской Федерации»</w:t>
      </w:r>
    </w:p>
    <w:p w:rsidR="009F73B9" w:rsidRDefault="009F73B9" w:rsidP="004533E2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Агаповского муниципального района ПОСТАНОВЛЯЕТ: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Отделению Управления федеральной миграционной службы Челябинской области в Агаповском районе (</w:t>
      </w:r>
      <w:proofErr w:type="spellStart"/>
      <w:r>
        <w:rPr>
          <w:sz w:val="28"/>
          <w:szCs w:val="28"/>
        </w:rPr>
        <w:t>Звезденко</w:t>
      </w:r>
      <w:proofErr w:type="spellEnd"/>
      <w:r>
        <w:rPr>
          <w:sz w:val="28"/>
          <w:szCs w:val="28"/>
        </w:rPr>
        <w:t xml:space="preserve"> Е.Б.), отделу военного комиссариата Челябинской области по Агаповскому и Кизильскому районам (</w:t>
      </w:r>
      <w:proofErr w:type="spellStart"/>
      <w:r>
        <w:rPr>
          <w:sz w:val="28"/>
          <w:szCs w:val="28"/>
        </w:rPr>
        <w:t>Харунов</w:t>
      </w:r>
      <w:proofErr w:type="spellEnd"/>
      <w:r>
        <w:rPr>
          <w:sz w:val="28"/>
          <w:szCs w:val="28"/>
        </w:rPr>
        <w:t xml:space="preserve"> Т.А.), отделу ЗАГС администрации Агаповского муниципального района (</w:t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О.Н.) обеспечить в порядке и в сроки, установленные Федеральным законом от 12.06.2002 г. № 67 – ФЗ «Об основных гарантиях избирательных прав и прав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Федерации», представление сведений для составления и уточнения списков избирателей.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отделу МВД России по Агаповскому муниципальному району (Яхимович А.В.) обеспечить: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охрану общественного порядка и общественную безопасность в период подготовки и проведения выборов депутатов Законодательного Собрания Челябинской области и представительных органов местного самоуправления,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перевозимых избирательные документы;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мер по предотвращению изготовления подложных и незаконных выборных материалов и их изъятию, установлению изготовителей и распространений указанных материалов, источников их </w:t>
      </w:r>
      <w:r>
        <w:rPr>
          <w:sz w:val="28"/>
          <w:szCs w:val="28"/>
        </w:rPr>
        <w:lastRenderedPageBreak/>
        <w:t>оплаты, а также своевременное информирование соответствующих комиссий о выявленных фактах и принятых мерах;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принимать меры по предотвращению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избирательные комиссии о выявленных фактах и принятых мерах;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специалистов по запросам соответствующих избирательных комиссий (по согласованию) для работы в избирательных комиссиях Агаповского муниципального района.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социальной защиты населения Агаповского муниципального района (</w:t>
      </w:r>
      <w:proofErr w:type="spellStart"/>
      <w:r>
        <w:rPr>
          <w:sz w:val="28"/>
          <w:szCs w:val="28"/>
        </w:rPr>
        <w:t>Евтух</w:t>
      </w:r>
      <w:proofErr w:type="spellEnd"/>
      <w:r>
        <w:rPr>
          <w:sz w:val="28"/>
          <w:szCs w:val="28"/>
        </w:rPr>
        <w:t xml:space="preserve"> Н.Н.) обеспечить представление сведений о количестве избирателей с ограниченными физическими возможностями.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делам ГО и ЧС администрации Агаповского муниципального района (Журавлев А.Н.), 67 Пожарной части второго отряда ФПС (Харитонов А.С.)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пожарной безопасности помещений избирательных комиссий и помещений для голосования.</w:t>
      </w:r>
    </w:p>
    <w:p w:rsidR="009F73B9" w:rsidRDefault="009F73B9" w:rsidP="005A2411">
      <w:pPr>
        <w:tabs>
          <w:tab w:val="left" w:pos="720"/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Рекомендовать начальнику ЛТЦ Агаповского района Магнитогорского РУС ЧФ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Богатырю Н.Н. обеспечить предоставление избирательным комиссиям всех уровней услуг связи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счет средств соответствующих бюджетов.</w:t>
      </w:r>
      <w:proofErr w:type="gramEnd"/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Главам сельских поселений, начальнику Управления образования администрации района Смирновой Н.В.: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избирательным комиссиям на безвозмездной основе помещения для работы избирательных комиссий, хранения избирательной документации, в том числе, транспортные средства, средства связи и техническое оборудование;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специально оборудованные места для размещения предвыборных, агитационных материалов;</w:t>
      </w:r>
    </w:p>
    <w:p w:rsidR="009F73B9" w:rsidRDefault="009F73B9" w:rsidP="005A2411">
      <w:pPr>
        <w:tabs>
          <w:tab w:val="left" w:pos="720"/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муниципальным Управлением культуры администрации района (Руденко Л.И.), отделом экономического развития администрации района (Каримова Н.И.) организовать культурное и торговое обслуживание избирателей в каждом населенном пункте в день голосования;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бесперебойную подачу электрической и тепловой энергии в населенных пунктах.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Для оперативного решения вопросов, связанных с подготовкой и проведением выборов депутатов Законодательного Собрания Челябинской области и представительных органов местного самоуправления создать рабочую группу и утвердить ее состав (прилагается).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Организационно-правовому отделу администрации Агаповского муниципального района (Куликова О.А.)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>постановление на официальном сайте администрации Агаповского муниципального района и опубликовать в районной газете «Звезда».</w:t>
      </w:r>
    </w:p>
    <w:p w:rsidR="009F73B9" w:rsidRDefault="009F73B9" w:rsidP="001A770F">
      <w:pPr>
        <w:tabs>
          <w:tab w:val="left" w:pos="720"/>
          <w:tab w:val="left" w:pos="7050"/>
        </w:tabs>
        <w:ind w:righ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О.Г., заместителя главы района по строительству, ЖКХ, ТС и Э Железнова А.И.</w:t>
      </w: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</w:p>
    <w:p w:rsidR="009F73B9" w:rsidRDefault="009F73B9" w:rsidP="004533E2">
      <w:pPr>
        <w:tabs>
          <w:tab w:val="left" w:pos="7050"/>
        </w:tabs>
        <w:ind w:right="432" w:firstLine="709"/>
        <w:jc w:val="both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А. Н. Домбаев</w:t>
      </w: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Pr="00914560" w:rsidRDefault="009F73B9" w:rsidP="00914560">
      <w:pPr>
        <w:tabs>
          <w:tab w:val="left" w:pos="7050"/>
        </w:tabs>
        <w:ind w:right="432"/>
        <w:jc w:val="both"/>
        <w:rPr>
          <w:sz w:val="20"/>
          <w:szCs w:val="20"/>
        </w:rPr>
      </w:pPr>
      <w:r w:rsidRPr="00914560">
        <w:rPr>
          <w:sz w:val="20"/>
          <w:szCs w:val="20"/>
        </w:rPr>
        <w:t>Куликова О.А.</w:t>
      </w: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14560">
        <w:rPr>
          <w:sz w:val="20"/>
          <w:szCs w:val="20"/>
        </w:rPr>
        <w:t>2-14-52</w:t>
      </w: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0"/>
          <w:szCs w:val="20"/>
        </w:rPr>
      </w:pPr>
    </w:p>
    <w:p w:rsidR="009F73B9" w:rsidRDefault="009F73B9" w:rsidP="001A770F">
      <w:pPr>
        <w:tabs>
          <w:tab w:val="left" w:pos="7050"/>
        </w:tabs>
        <w:ind w:right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УТВЕРЖДЕНА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Агаповского муниципального района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06.07.2015 г. № 667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выборов депутатов 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Законодательного Собрания Челябинской области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представительных органов местного самоуправления </w:t>
      </w: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p w:rsidR="009F73B9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6775"/>
      </w:tblGrid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-108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Домбаев А.Н.  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Глава Агаповского муниципального района, руководитель рабочей группы</w:t>
            </w:r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2869"/>
                <w:tab w:val="left" w:pos="7050"/>
              </w:tabs>
              <w:ind w:right="-108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Скрыльникова О.Г.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первый заместитель главы Агаповского муниципального района по общим вопросам, заместитель руководителя рабочей группы</w:t>
            </w:r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044D60">
              <w:rPr>
                <w:sz w:val="28"/>
                <w:szCs w:val="28"/>
              </w:rPr>
              <w:t>Вашкевич</w:t>
            </w:r>
            <w:proofErr w:type="spellEnd"/>
            <w:r w:rsidRPr="00044D60">
              <w:rPr>
                <w:sz w:val="28"/>
                <w:szCs w:val="28"/>
              </w:rPr>
              <w:t xml:space="preserve"> Е.В.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редактор районной газеты «Звезда»</w:t>
            </w:r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-108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Железнов А.И.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заместитель главы района по строительству, ЖКХ, ТС и</w:t>
            </w:r>
            <w:proofErr w:type="gramStart"/>
            <w:r w:rsidRPr="00044D60">
              <w:rPr>
                <w:sz w:val="28"/>
                <w:szCs w:val="28"/>
              </w:rPr>
              <w:t xml:space="preserve"> Э</w:t>
            </w:r>
            <w:proofErr w:type="gramEnd"/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-108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Каримова И.А.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заместитель главы района по бюджетной политике</w:t>
            </w:r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2869"/>
                <w:tab w:val="left" w:pos="7050"/>
              </w:tabs>
              <w:ind w:right="-108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Куликова О.А.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9F73B9">
        <w:tc>
          <w:tcPr>
            <w:tcW w:w="308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Л.И.</w:t>
            </w:r>
            <w:r w:rsidRPr="00044D60">
              <w:rPr>
                <w:sz w:val="28"/>
                <w:szCs w:val="28"/>
              </w:rPr>
              <w:t xml:space="preserve">                 -</w:t>
            </w:r>
          </w:p>
        </w:tc>
        <w:tc>
          <w:tcPr>
            <w:tcW w:w="6775" w:type="dxa"/>
          </w:tcPr>
          <w:p w:rsidR="009F73B9" w:rsidRPr="00044D60" w:rsidRDefault="009F73B9" w:rsidP="00044D60">
            <w:pPr>
              <w:tabs>
                <w:tab w:val="left" w:pos="7050"/>
              </w:tabs>
              <w:ind w:right="432"/>
              <w:jc w:val="both"/>
              <w:rPr>
                <w:sz w:val="28"/>
                <w:szCs w:val="28"/>
              </w:rPr>
            </w:pPr>
            <w:r w:rsidRPr="00044D60">
              <w:rPr>
                <w:sz w:val="28"/>
                <w:szCs w:val="28"/>
              </w:rPr>
              <w:t>начальник муниципального Управления культуры администрации района</w:t>
            </w:r>
          </w:p>
        </w:tc>
      </w:tr>
    </w:tbl>
    <w:p w:rsidR="009F73B9" w:rsidRPr="00914560" w:rsidRDefault="009F73B9" w:rsidP="00914560">
      <w:pPr>
        <w:tabs>
          <w:tab w:val="left" w:pos="7050"/>
        </w:tabs>
        <w:ind w:right="432"/>
        <w:jc w:val="center"/>
        <w:rPr>
          <w:sz w:val="28"/>
          <w:szCs w:val="28"/>
        </w:rPr>
      </w:pPr>
    </w:p>
    <w:sectPr w:rsidR="009F73B9" w:rsidRPr="00914560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69"/>
    <w:rsid w:val="00011772"/>
    <w:rsid w:val="00021385"/>
    <w:rsid w:val="00023A69"/>
    <w:rsid w:val="000434D0"/>
    <w:rsid w:val="00044D60"/>
    <w:rsid w:val="00045BEA"/>
    <w:rsid w:val="00060DBF"/>
    <w:rsid w:val="00072A31"/>
    <w:rsid w:val="000854AB"/>
    <w:rsid w:val="000862E3"/>
    <w:rsid w:val="00094A51"/>
    <w:rsid w:val="00097A13"/>
    <w:rsid w:val="000B492E"/>
    <w:rsid w:val="000B6EC4"/>
    <w:rsid w:val="000C0C13"/>
    <w:rsid w:val="000C469C"/>
    <w:rsid w:val="000D5292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A770F"/>
    <w:rsid w:val="001C1A40"/>
    <w:rsid w:val="001F5641"/>
    <w:rsid w:val="0023011F"/>
    <w:rsid w:val="00235472"/>
    <w:rsid w:val="00235B96"/>
    <w:rsid w:val="00266CE1"/>
    <w:rsid w:val="0027743F"/>
    <w:rsid w:val="002823EB"/>
    <w:rsid w:val="00284BFC"/>
    <w:rsid w:val="002859AC"/>
    <w:rsid w:val="00290B45"/>
    <w:rsid w:val="002A3563"/>
    <w:rsid w:val="002C02B4"/>
    <w:rsid w:val="002C729A"/>
    <w:rsid w:val="002D2D7D"/>
    <w:rsid w:val="002D7FAD"/>
    <w:rsid w:val="002E0CF0"/>
    <w:rsid w:val="002E4191"/>
    <w:rsid w:val="002F0BA4"/>
    <w:rsid w:val="002F1342"/>
    <w:rsid w:val="00337BC2"/>
    <w:rsid w:val="00342137"/>
    <w:rsid w:val="003713D5"/>
    <w:rsid w:val="00372B8E"/>
    <w:rsid w:val="00375C2B"/>
    <w:rsid w:val="00375F88"/>
    <w:rsid w:val="003840E7"/>
    <w:rsid w:val="00386742"/>
    <w:rsid w:val="003C325F"/>
    <w:rsid w:val="003C3BBA"/>
    <w:rsid w:val="003D0A9D"/>
    <w:rsid w:val="003E2D1C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33E2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277B8"/>
    <w:rsid w:val="00531988"/>
    <w:rsid w:val="00546305"/>
    <w:rsid w:val="00555C4F"/>
    <w:rsid w:val="00556C37"/>
    <w:rsid w:val="005731BA"/>
    <w:rsid w:val="00580EA6"/>
    <w:rsid w:val="00585EAB"/>
    <w:rsid w:val="005A2411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62CC"/>
    <w:rsid w:val="00637569"/>
    <w:rsid w:val="00655D0C"/>
    <w:rsid w:val="00660C73"/>
    <w:rsid w:val="00667C6E"/>
    <w:rsid w:val="00673DCC"/>
    <w:rsid w:val="00674488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25F6C"/>
    <w:rsid w:val="00835EDE"/>
    <w:rsid w:val="0085136E"/>
    <w:rsid w:val="00866885"/>
    <w:rsid w:val="00873157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4560"/>
    <w:rsid w:val="00915120"/>
    <w:rsid w:val="009174FF"/>
    <w:rsid w:val="00920621"/>
    <w:rsid w:val="00930F32"/>
    <w:rsid w:val="0093542B"/>
    <w:rsid w:val="0094160C"/>
    <w:rsid w:val="00943C6E"/>
    <w:rsid w:val="0095106B"/>
    <w:rsid w:val="00951B62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3B9"/>
    <w:rsid w:val="009F7654"/>
    <w:rsid w:val="00A039D5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1956"/>
    <w:rsid w:val="00BD2F05"/>
    <w:rsid w:val="00BD34EA"/>
    <w:rsid w:val="00BF2137"/>
    <w:rsid w:val="00BF6A6A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17725"/>
    <w:rsid w:val="00D35428"/>
    <w:rsid w:val="00D35AB7"/>
    <w:rsid w:val="00D41176"/>
    <w:rsid w:val="00D57951"/>
    <w:rsid w:val="00D91A2C"/>
    <w:rsid w:val="00DB022D"/>
    <w:rsid w:val="00DB6A11"/>
    <w:rsid w:val="00DC54F6"/>
    <w:rsid w:val="00DD6199"/>
    <w:rsid w:val="00DE25F4"/>
    <w:rsid w:val="00DF440F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C7167"/>
    <w:rsid w:val="00EE202C"/>
    <w:rsid w:val="00F0796A"/>
    <w:rsid w:val="00F1182E"/>
    <w:rsid w:val="00F170B0"/>
    <w:rsid w:val="00F60E2E"/>
    <w:rsid w:val="00F74008"/>
    <w:rsid w:val="00F74F1A"/>
    <w:rsid w:val="00F856F4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76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1176"/>
    <w:pPr>
      <w:keepNext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40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F44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F440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4117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440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15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sz w:val="2"/>
      <w:szCs w:val="2"/>
    </w:rPr>
  </w:style>
  <w:style w:type="table" w:styleId="a7">
    <w:name w:val="Table Grid"/>
    <w:basedOn w:val="a1"/>
    <w:uiPriority w:val="99"/>
    <w:rsid w:val="009145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924</Words>
  <Characters>5270</Characters>
  <Application>Microsoft Office Word</Application>
  <DocSecurity>0</DocSecurity>
  <Lines>43</Lines>
  <Paragraphs>12</Paragraphs>
  <ScaleCrop>false</ScaleCrop>
  <Company>Финансовый отдел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8</cp:revision>
  <cp:lastPrinted>2015-07-07T08:01:00Z</cp:lastPrinted>
  <dcterms:created xsi:type="dcterms:W3CDTF">2014-05-14T08:00:00Z</dcterms:created>
  <dcterms:modified xsi:type="dcterms:W3CDTF">2015-07-07T08:03:00Z</dcterms:modified>
</cp:coreProperties>
</file>